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管理</w:t>
      </w:r>
      <w:r>
        <w:rPr>
          <w:rFonts w:hint="eastAsia" w:ascii="楷体" w:hAnsi="楷体" w:eastAsia="楷体" w:cs="楷体"/>
          <w:b w:val="0"/>
          <w:bCs/>
          <w:sz w:val="36"/>
          <w:szCs w:val="36"/>
          <w:u w:val="single"/>
          <w:lang w:eastAsia="zh-CN"/>
        </w:rPr>
        <w:t>会计类云实训平台</w:t>
      </w:r>
      <w:r>
        <w:rPr>
          <w:rFonts w:hint="eastAsia" w:ascii="楷体" w:hAnsi="楷体" w:eastAsia="楷体" w:cs="楷体"/>
          <w:b w:val="0"/>
          <w:bCs/>
          <w:sz w:val="36"/>
          <w:szCs w:val="36"/>
          <w:u w:val="single"/>
          <w:lang w:val="en-US" w:eastAsia="zh-CN"/>
        </w:rPr>
        <w:t xml:space="preserve">采购项目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sz w:val="28"/>
          <w:szCs w:val="28"/>
          <w:u w:val="single"/>
          <w:lang w:val="en-US" w:eastAsia="zh-CN"/>
        </w:rPr>
        <w:t>管理会计类云实训平台采购项目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val="en-US" w:eastAsia="zh-CN"/>
        </w:rPr>
        <w:t>长春大学旅游学院管理会计类云实训平台采购项目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sz w:val="28"/>
                <w:szCs w:val="28"/>
                <w:u w:val="none"/>
                <w:lang w:val="en-US" w:eastAsia="zh-CN"/>
              </w:rPr>
              <w:t>管理会计类云实训平台采购项目</w:t>
            </w:r>
            <w:r>
              <w:rPr>
                <w:rFonts w:hint="eastAsia" w:cs="仿宋_GB2312" w:asciiTheme="minorEastAsia" w:hAnsiTheme="minorEastAsia"/>
                <w:sz w:val="24"/>
                <w:szCs w:val="24"/>
                <w:lang w:val="en-US" w:eastAsia="zh-CN"/>
              </w:rPr>
              <w:t>（详见第二章货物需求一览表）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cs="Arial"/>
          <w:color w:val="000000"/>
          <w:sz w:val="28"/>
          <w:szCs w:val="28"/>
          <w:lang w:val="en-US" w:eastAsia="zh-CN"/>
        </w:rPr>
        <w:t>2020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ascii="宋体" w:hAnsi="宋体" w:cs="Arial"/>
          <w:color w:val="000000"/>
          <w:sz w:val="28"/>
          <w:szCs w:val="28"/>
          <w:lang w:val="en-US" w:eastAsia="zh-CN"/>
        </w:rPr>
        <w:t>（每日上午8时00分至11时30分，下午13时00分至16时00分）。</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二〇一九年十二月三日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Arial" w:hAnsi="Arial" w:cs="Arial"/>
          <w:color w:val="000000"/>
          <w:sz w:val="24"/>
          <w:szCs w:val="24"/>
          <w:shd w:val="clear" w:color="auto" w:fill="FFFFFF"/>
        </w:rPr>
      </w:pPr>
      <w:r>
        <w:rPr>
          <w:rFonts w:hint="eastAsia" w:ascii="Arial" w:hAnsi="Arial" w:cs="Arial"/>
          <w:color w:val="000000"/>
          <w:sz w:val="24"/>
          <w:szCs w:val="24"/>
          <w:shd w:val="clear" w:color="auto" w:fill="FFFFFF"/>
          <w:lang w:val="en-US" w:eastAsia="zh-CN"/>
        </w:rPr>
        <w:t>管理会计类云实训平台</w:t>
      </w:r>
      <w:r>
        <w:rPr>
          <w:rFonts w:hint="eastAsia" w:ascii="Arial" w:hAnsi="Arial" w:cs="Arial"/>
          <w:color w:val="000000"/>
          <w:sz w:val="24"/>
          <w:szCs w:val="24"/>
          <w:shd w:val="clear" w:color="auto" w:fill="FFFFFF"/>
        </w:rPr>
        <w:t>通过商业大数据分析与决策平台</w:t>
      </w:r>
      <w:r>
        <w:rPr>
          <w:rFonts w:hint="eastAsia" w:ascii="Arial" w:hAnsi="Arial" w:cs="Arial"/>
          <w:color w:val="000000"/>
          <w:sz w:val="24"/>
          <w:szCs w:val="24"/>
          <w:shd w:val="clear" w:color="auto" w:fill="FFFFFF"/>
          <w:lang w:eastAsia="zh-CN"/>
        </w:rPr>
        <w:t>和</w:t>
      </w:r>
      <w:r>
        <w:rPr>
          <w:rFonts w:hint="eastAsia" w:ascii="Arial" w:hAnsi="Arial" w:cs="Arial"/>
          <w:color w:val="000000"/>
          <w:sz w:val="24"/>
          <w:szCs w:val="24"/>
          <w:shd w:val="clear" w:color="auto" w:fill="FFFFFF"/>
        </w:rPr>
        <w:t>成本会计实训平台，结合企业集团财务共享中心的管控建设，将会计大数据可视化作为会计知识发现的主要方式，把会计数据、信息和知识转化为图表、模型和图形等，使抽象的数据信息化和案例化，将大数据转化为丰富的教学资源，让学生有置身企业工作的真实体验，从而更直观地学习相关知识。学生还可以利用这些实务工具、分析方法直接提供行业企业分析报告，将学校实验室变成行业产业研究中心，将地区的行业优势和学校的学科优势结合起来，以大数据为基础，为产业提供可视化数据资源、专业培训和管理咨询服务，推动高校产、学、研的深度融合。实训平台的搭建，能够进一步实现财会专业应用型人才培养的目标。</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eastAsia="zh-CN"/>
        </w:rPr>
      </w:pPr>
      <w:r>
        <w:rPr>
          <w:rFonts w:hint="eastAsia"/>
          <w:b/>
          <w:bCs/>
          <w:sz w:val="28"/>
          <w:szCs w:val="28"/>
          <w:lang w:val="en-US" w:eastAsia="zh-CN"/>
        </w:rPr>
        <w:t>管理会计类云实训平台</w:t>
      </w:r>
      <w:r>
        <w:rPr>
          <w:rFonts w:hint="eastAsia"/>
          <w:b/>
          <w:bCs/>
          <w:sz w:val="28"/>
          <w:szCs w:val="28"/>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41"/>
        <w:gridCol w:w="753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535"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大数据财务分析平台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 需提供100家以上上市公司近年年报及其他相关信息，使用PowerBI数据可视化技术，将公开市场披露的大数据融入会计知识，所有实验教学内容需要以可视化大数据的形式呈现；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 需按知识专题进行管理，每个专题都能配备对应的知识图谱或知识模板，能够通过知识图谱对制定上市公司域的案例特征进行识别，并生成案例分析素材</w:t>
            </w:r>
            <w:r>
              <w:rPr>
                <w:rFonts w:hint="eastAsia"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 可视化教学内容需包含资产负债表分析、利润表分析、现金流量表分析、穿透式财报分析、财务指标分析、财务综合分析、业绩评价、会计指数分析等大数据分析类知识专题；需满足《财务分析》理论课程、《财务分析实训》实践课程的授课需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 每个专题都配备大数据可视化终端，作为可视化教学资源，需通过平台的教学组织功能进行发布；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 每个专题需配备一个案例分析报告或者信息发布报告模板的推理机制；并且需要结合学校的需求，设定学校专属的数据分析域，域的设定包含但不限于区域、行业；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 需不限用户注册数量；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 需提供三年质保期，五年免费更新升级；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8）平台需采用B/S开发技术，采用SQL serve作为数据服务器；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9）要求是支持过财会类比赛及支持会计专硕教指委远程实习的平台。</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大数据财务决策平台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 需提供100家以上上市公司近年年报及其他相关信息，使用PowerBI数据可视化技术，将公开市场披露的大数据融入会计知识，所有实验教学内容需要以可视化大数据的形式呈现；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 需按知识专题进行管理，每个专题都能配备对应的知识图谱或知识模板，能够通过知识图谱对制定上市公司域的案例特征进行识别，并生成案例分析素材。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 可视化教学内容需包含经营管理战略、资本结构管理、资本引入战略、资本经营战略、债务融资战略、股利分配战略、资源配置战略等财务管理与决策类知识专题；能够满足《财务决策实务》、《财务管理理论专题》理论课程、《EVC财务管理综合实训》实践课程的授课需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 每个财务管理与决策类知识专题需包含公司信息和板块信息两个模块，其中板块信息能够基于行业、区域、热点、主题等公司属性进行公司分类，对符合分类条件的公司能够实现基于板块的聚类和离散分析；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 每个专题都配备大数据可视化终端，作为可视化教学资源，需通过平台的教学组织功能进行发布；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 每个专题需配备一个案例分析报告或者信息发布报告模板的推理机制；并且需要结合学校的需求，设定学校专属的数据分析域，域的设定包含但不限于区域、行业；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 需不限用户注册数量；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 需提供三年质保期，五年免费更新升级；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8）平台需采用B/S开发技术，采用SQL serve作为数据服务器；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9）要求是支持过财会类比赛及支持会计专硕教指委远程实习的平台。</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成本核算与管理实训教学平台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 要求是一个系统性的实训课程集成平台，基于高校财会专业核心课程体系研发，课程涵盖精品课堂、理实教学题库、教学案例（业务实践）三大模块。支持多样化题型，包括单选题、多选题、不定项选择题、判断题、连线题、实训题、流程题、综合题、微课互动题、游戏趣味题等10种形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 需配置人工及智能选题功能，可筛选章节范围、知识点、各种题型、题数等信息，并能根据教学需求，自由设定分值比重，可以快速发布作业、考试、综合卷，并且通过一键转发即可快速共享给其他班级使用。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 平台需搭载强大的数据分析处理系统，不仅对学员的作业、考试情况进行得分、做题时长、做题详情、交卷时间、交卷情况等数据进行记录及分析，还可以对学习过程进行管控，可分析课程或章节出错率最高的前十大知识点，老师可根据学员知识点掌握情况进行针对性内容调整及教学计划调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 需使用电算化记账凭证，并可通过搜索会计编码、关键字快速选定会计科目。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 需内置实训企业、单据超市功能：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（1）实训企业模块：可以根据教学需求，在平台上新增实训题库，快速创建属于自己的实训企业信息，并对企业的角色、签章等进行管理，也可复制原企业信息进行修改并保存为自己的实训企业信息。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（2）单据超市模块：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①内置多种常用单据填写示例，单据按不同类别进行分类，包含凭证类、金融类、申报表类、发票收据类等。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②可根据需求，从单据超市模块中直接复制示例单据，对单据内容、签章进行修改，并保存为自己的单据库，可供教学备课或教材出版时使用。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 需拥有导出任务功能，可以下载并导出学生做题情况、成绩分析、知识点掌握情况等数据，并可缓存已下载过的数据，不需再重复导出，节约时间。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 在进行课程资源学习过程中，系统需不仅能够实时记录学习轨迹，学生还可记录笔记，并可以进行笔记的共享，也可以根据课程筛选查看别人的笔记，或在系统自带的搜索引擎进行所需笔记的搜索，进行笔记的引用、点赞等操作；在做题时，对感兴趣的题目也可以进行收藏，系统将对收藏的题目智能归类，学生可查看收藏的题目，系统还将智能收集学生在做作业、考试、综合卷、知识点练习时的错题，学生可在错题集查看历史做错题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 为保证所购买的软件产品为正版，制造商须提供国家版权局颁发的该软件《计算机著作权登记证书》。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 教学资源内容展现形式丰富，通过2D视频、PDF、3D动画视频、双师课堂等形式提高学生学习兴趣，实训题目图文并茂，客观题采用图片形式、游戏趣味题等，增加学生做题趣味性。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 实训题合计不少于500道，学生进入流程题，可根据模块化业务流程指引进行实训，并按企业实际业务流程，上一个流程需完全正确才可进入下一个流程业务，还可用于章节练习或考核。</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11) 岗位实训需按成本会计岗位业务流程设计，学生通过角色扮演与工作流转，分别模拟四种成本核算方法：品种法、分步法、分批法与分步法相结合、简易倒推成本法。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12) 个税计算器需可进行各种收入类型的个税计算，工资、薪金所得，劳务报酬所得，稿酬所得等采用累计预扣法计算个人所得税。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13) 为让财会专业学生对会计岗位有初步的了解和职业认知，需要配套会计岗位认知课程，课程以系统性学习架构提升学生对企业类型、企业会计机构设置和会计人员的构成、企业供产销流程、各流程产生的单据、会计工作中用到的工具及资料、不同会计岗位的工作职责权限、各大会计要素、记账方法、会计凭证、账簿和报表样式、会计职业资格及会计行业的基本情况等知识点的掌握，培养学生具有良好的职业生涯规划能力。</w:t>
            </w:r>
          </w:p>
          <w:p>
            <w:pPr>
              <w:keepNext w:val="0"/>
              <w:keepLines w:val="0"/>
              <w:pageBreakBefore w:val="0"/>
              <w:widowControl w:val="0"/>
              <w:tabs>
                <w:tab w:val="center" w:pos="3659"/>
              </w:tabs>
              <w:kinsoku/>
              <w:wordWrap/>
              <w:overflowPunct/>
              <w:topLinePunct w:val="0"/>
              <w:autoSpaceDE/>
              <w:autoSpaceDN/>
              <w:bidi w:val="0"/>
              <w:adjustRightInd/>
              <w:snapToGrid/>
              <w:spacing w:line="360" w:lineRule="exact"/>
              <w:jc w:val="left"/>
              <w:textAlignment w:val="auto"/>
              <w:rPr>
                <w:rFonts w:hint="eastAsia" w:cs="Times New Roman"/>
                <w:kern w:val="2"/>
                <w:sz w:val="21"/>
                <w:szCs w:val="24"/>
                <w:lang w:val="en-US" w:eastAsia="zh-CN" w:bidi="ar-SA"/>
              </w:rPr>
            </w:pPr>
            <w:r>
              <w:rPr>
                <w:rFonts w:hint="eastAsia" w:cs="Times New Roman"/>
                <w:kern w:val="2"/>
                <w:sz w:val="21"/>
                <w:szCs w:val="24"/>
                <w:lang w:val="en-US" w:eastAsia="zh-CN" w:bidi="ar-SA"/>
              </w:rPr>
              <w:t>14)</w:t>
            </w:r>
            <w:r>
              <w:rPr>
                <w:rFonts w:hint="eastAsia" w:ascii="Times New Roman" w:hAnsi="Times New Roman" w:eastAsia="宋体" w:cs="Times New Roman"/>
                <w:kern w:val="2"/>
                <w:sz w:val="21"/>
                <w:szCs w:val="24"/>
                <w:lang w:val="en-US" w:eastAsia="zh-CN" w:bidi="ar-SA"/>
              </w:rPr>
              <w:t>需不限用户注册数量</w:t>
            </w:r>
            <w:r>
              <w:rPr>
                <w:rFonts w:hint="eastAsia" w:cs="Times New Roman"/>
                <w:kern w:val="2"/>
                <w:sz w:val="21"/>
                <w:szCs w:val="24"/>
                <w:lang w:val="en-US" w:eastAsia="zh-CN" w:bidi="ar-SA"/>
              </w:rPr>
              <w:t>。</w:t>
            </w:r>
            <w:r>
              <w:rPr>
                <w:rFonts w:hint="eastAsia" w:cs="Times New Roman"/>
                <w:kern w:val="2"/>
                <w:sz w:val="21"/>
                <w:szCs w:val="24"/>
                <w:lang w:val="en-US" w:eastAsia="zh-CN" w:bidi="ar-SA"/>
              </w:rPr>
              <w:tab/>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15</w:t>
            </w:r>
            <w:r>
              <w:rPr>
                <w:rFonts w:hint="eastAsia" w:ascii="Times New Roman" w:hAnsi="Times New Roman" w:eastAsia="宋体" w:cs="Times New Roman"/>
                <w:kern w:val="2"/>
                <w:sz w:val="21"/>
                <w:szCs w:val="24"/>
                <w:lang w:val="en-US" w:eastAsia="zh-CN" w:bidi="ar-SA"/>
              </w:rPr>
              <w:t>)需提供三年质保期，五年免费更新升级</w:t>
            </w:r>
            <w:r>
              <w:rPr>
                <w:rFonts w:hint="eastAsia" w:cs="Times New Roman"/>
                <w:kern w:val="2"/>
                <w:sz w:val="21"/>
                <w:szCs w:val="24"/>
                <w:lang w:val="en-US" w:eastAsia="zh-CN" w:bidi="ar-SA"/>
              </w:rPr>
              <w:t>。</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1套</w:t>
            </w:r>
          </w:p>
        </w:tc>
      </w:tr>
    </w:tbl>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widowControl w:val="0"/>
        <w:kinsoku/>
        <w:wordWrap/>
        <w:overflowPunct/>
        <w:topLinePunct w:val="0"/>
        <w:autoSpaceDE/>
        <w:autoSpaceDN/>
        <w:bidi w:val="0"/>
        <w:adjustRightInd w:val="0"/>
        <w:snapToGrid/>
        <w:spacing w:line="46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bCs/>
          <w:sz w:val="28"/>
          <w:lang w:val="en-US" w:eastAsia="zh-CN"/>
        </w:rPr>
        <w:t>管理会计类云实训平台</w:t>
      </w:r>
      <w:r>
        <w:rPr>
          <w:rFonts w:hint="eastAsia" w:hAnsi="宋体"/>
          <w:bCs/>
          <w:sz w:val="28"/>
          <w:lang w:eastAsia="zh-CN"/>
        </w:rPr>
        <w:t>采购项</w:t>
      </w:r>
      <w:r>
        <w:rPr>
          <w:rFonts w:hint="eastAsia" w:hAnsi="宋体" w:eastAsia="文鼎CS楷体"/>
          <w:bCs/>
          <w:sz w:val="28"/>
          <w:lang w:eastAsia="zh-CN"/>
        </w:rPr>
        <w:t>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4</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08</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18</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bookmarkStart w:id="5" w:name="_GoBack"/>
      <w:bookmarkEnd w:id="5"/>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20</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D600A48"/>
    <w:rsid w:val="0E1637A8"/>
    <w:rsid w:val="0EAE3E9B"/>
    <w:rsid w:val="19247E77"/>
    <w:rsid w:val="25600D37"/>
    <w:rsid w:val="269126BE"/>
    <w:rsid w:val="29230138"/>
    <w:rsid w:val="2A9F0464"/>
    <w:rsid w:val="2B5C77BF"/>
    <w:rsid w:val="2EF606E1"/>
    <w:rsid w:val="2F5D1E22"/>
    <w:rsid w:val="2FDE319B"/>
    <w:rsid w:val="330724E2"/>
    <w:rsid w:val="35E54868"/>
    <w:rsid w:val="375029D4"/>
    <w:rsid w:val="38335DC1"/>
    <w:rsid w:val="39DD67DF"/>
    <w:rsid w:val="39FC764D"/>
    <w:rsid w:val="3ABD653D"/>
    <w:rsid w:val="3D0A7737"/>
    <w:rsid w:val="3E701FDD"/>
    <w:rsid w:val="4B0C3582"/>
    <w:rsid w:val="4EB7573A"/>
    <w:rsid w:val="50D7414B"/>
    <w:rsid w:val="532B2611"/>
    <w:rsid w:val="549A75F3"/>
    <w:rsid w:val="57E31CAF"/>
    <w:rsid w:val="5A8565D6"/>
    <w:rsid w:val="5D1F77E7"/>
    <w:rsid w:val="68BD4E70"/>
    <w:rsid w:val="6B5450B6"/>
    <w:rsid w:val="73D22A3C"/>
    <w:rsid w:val="73DF7905"/>
    <w:rsid w:val="785F1996"/>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2020-08-22T07:55:45Z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