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contextualSpacing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ascii="楷体" w:hAnsi="楷体" w:eastAsia="楷体"/>
          <w:sz w:val="32"/>
          <w:szCs w:val="32"/>
        </w:rPr>
        <w:t>1</w:t>
      </w:r>
    </w:p>
    <w:p>
      <w:pPr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食堂“明厨亮灶”监控设备采购</w:t>
      </w:r>
    </w:p>
    <w:p>
      <w:pPr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技术参数要求</w:t>
      </w:r>
    </w:p>
    <w:tbl>
      <w:tblPr>
        <w:tblStyle w:val="2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74"/>
        <w:gridCol w:w="4678"/>
        <w:gridCol w:w="850"/>
        <w:gridCol w:w="993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名</w:t>
            </w:r>
            <w:r>
              <w:rPr>
                <w:rFonts w:ascii="黑体" w:hAnsi="宋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称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规格型号及详细配置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单位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数量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</w:t>
            </w:r>
            <w:r>
              <w:rPr>
                <w:rFonts w:ascii="黑体" w:hAnsi="宋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监控摄像机</w:t>
            </w:r>
          </w:p>
        </w:tc>
        <w:tc>
          <w:tcPr>
            <w:tcW w:w="4678" w:type="dxa"/>
            <w:vAlign w:val="center"/>
          </w:tcPr>
          <w:tbl>
            <w:tblPr>
              <w:tblStyle w:val="2"/>
              <w:tblW w:w="6159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5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jc w:val="left"/>
                    <w:textAlignment w:val="center"/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万像素，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1/2.7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”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CMOS ICR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日夜型半球型网络摄像机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最高分辨率可达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1920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×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1080@25fps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支持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smart265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编码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采用高效红外灯，使用寿命长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t>,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照射距离可达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20-30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米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支持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smart IR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，防止夜间红外过曝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ICR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红外滤片式自动切换，实现真正的日夜监控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支持日夜两套参数独立配置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支持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3D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数字降噪，支持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120dB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真宽动态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支持智能报警：越界侦测</w:t>
                  </w:r>
                  <w:r>
                    <w:rPr>
                      <w:rFonts w:ascii="宋体" w:cs="宋体"/>
                      <w:color w:val="000000"/>
                      <w:kern w:val="0"/>
                      <w:sz w:val="22"/>
                      <w:szCs w:val="22"/>
                    </w:rPr>
                    <w:t>,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区域入侵侦测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支持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>PoE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  <w:szCs w:val="22"/>
                    </w:rPr>
                    <w:t>供电功能</w:t>
                  </w:r>
                  <w:r>
                    <w:rPr>
                      <w:rFonts w:ascii="宋体" w:hAnsi="宋体" w:cs="宋体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2" w:hRule="atLeast"/>
              </w:trPr>
              <w:tc>
                <w:tcPr>
                  <w:tcW w:w="6159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ascii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台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硬盘录像机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支持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256M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网络宽带，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路网络视频输入，视频解码格式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H.265//H.264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。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6T 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盘位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SATA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接口。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  <w:t>满足系统要求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硬盘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要求监控记录保存天数在15天以上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交换机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  <w:t>国内知名品牌，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千兆网络POE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供电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  <w:t>，可网管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  <w:t>满足系统要求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机柜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600*600*600cm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eastAsia="zh-CN"/>
              </w:rPr>
              <w:t>满足系统要求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网线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国标超五类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辅材</w:t>
            </w:r>
          </w:p>
        </w:tc>
        <w:tc>
          <w:tcPr>
            <w:tcW w:w="4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</w:rPr>
              <w:t>符合国家技术标准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9791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说明：</w:t>
            </w:r>
          </w:p>
          <w:p>
            <w:pPr>
              <w:ind w:firstLine="560" w:firstLineChars="200"/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供货期限要求：所有采购设备务必于规定日期前安装、调试完毕、验收合格。</w:t>
            </w:r>
          </w:p>
          <w:p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 w:themeColor="text1"/>
                <w:sz w:val="28"/>
                <w:szCs w:val="28"/>
              </w:rPr>
              <w:t xml:space="preserve">    2.</w:t>
            </w: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</w:rPr>
              <w:t>所有设备售后服务和质量保证等由应标单位自行阐述。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A8E"/>
    <w:rsid w:val="0024221E"/>
    <w:rsid w:val="004C2032"/>
    <w:rsid w:val="005A5263"/>
    <w:rsid w:val="006C398F"/>
    <w:rsid w:val="0071393B"/>
    <w:rsid w:val="00923CF7"/>
    <w:rsid w:val="009854D8"/>
    <w:rsid w:val="00A15FDB"/>
    <w:rsid w:val="00AE5A8E"/>
    <w:rsid w:val="00C04142"/>
    <w:rsid w:val="00C35FA1"/>
    <w:rsid w:val="00D95AFF"/>
    <w:rsid w:val="01E143BE"/>
    <w:rsid w:val="04B854F5"/>
    <w:rsid w:val="19841F63"/>
    <w:rsid w:val="20B01275"/>
    <w:rsid w:val="2D051718"/>
    <w:rsid w:val="2D957054"/>
    <w:rsid w:val="338565C6"/>
    <w:rsid w:val="3A612CFB"/>
    <w:rsid w:val="3C2A4786"/>
    <w:rsid w:val="479A5192"/>
    <w:rsid w:val="570F3E97"/>
    <w:rsid w:val="6CF41D23"/>
    <w:rsid w:val="710A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207</Words>
  <Characters>1182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亲亲果冻</cp:lastModifiedBy>
  <dcterms:modified xsi:type="dcterms:W3CDTF">2019-10-31T02:16:41Z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