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_GB2312" w:hAnsi="仿宋_GB2312" w:eastAsia="仿宋_GB2312" w:cs="仿宋_GB2312"/>
          <w:sz w:val="32"/>
          <w:szCs w:val="32"/>
        </w:rPr>
      </w:pPr>
      <w:r>
        <w:rPr>
          <w:rFonts w:hint="eastAsia" w:ascii="黑体" w:hAnsi="黑体" w:eastAsia="黑体" w:cs="黑体"/>
          <w:sz w:val="32"/>
          <w:szCs w:val="32"/>
        </w:rPr>
        <w:t>附件1</w:t>
      </w:r>
    </w:p>
    <w:p>
      <w:pPr>
        <w:spacing w:line="520" w:lineRule="exact"/>
        <w:jc w:val="center"/>
        <w:rPr>
          <w:rFonts w:hint="eastAsia" w:ascii="方正小标宋_GBK" w:hAnsi="方正小标宋_GBK" w:eastAsia="方正小标宋_GBK" w:cs="方正小标宋_GBK"/>
          <w:sz w:val="44"/>
          <w:szCs w:val="44"/>
          <w:lang w:eastAsia="zh-CN"/>
        </w:rPr>
      </w:pPr>
    </w:p>
    <w:p>
      <w:pPr>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吉林</w:t>
      </w:r>
      <w:r>
        <w:rPr>
          <w:rFonts w:hint="eastAsia" w:ascii="方正小标宋_GBK" w:hAnsi="方正小标宋_GBK" w:eastAsia="方正小标宋_GBK" w:cs="方正小标宋_GBK"/>
          <w:sz w:val="44"/>
          <w:szCs w:val="44"/>
        </w:rPr>
        <w:t>省学士学位授予单位</w:t>
      </w:r>
      <w:r>
        <w:rPr>
          <w:rFonts w:hint="eastAsia" w:ascii="方正小标宋_GBK" w:hAnsi="方正小标宋_GBK" w:eastAsia="方正小标宋_GBK" w:cs="方正小标宋_GBK"/>
          <w:sz w:val="44"/>
          <w:szCs w:val="44"/>
          <w:lang w:eastAsia="zh-CN"/>
        </w:rPr>
        <w:t>审核标准</w:t>
      </w:r>
    </w:p>
    <w:p>
      <w:pPr>
        <w:spacing w:line="520" w:lineRule="exact"/>
        <w:rPr>
          <w:rFonts w:hint="eastAsia" w:ascii="黑体" w:hAnsi="黑体" w:eastAsia="黑体"/>
          <w:sz w:val="22"/>
        </w:rPr>
      </w:pPr>
    </w:p>
    <w:tbl>
      <w:tblPr>
        <w:tblStyle w:val="2"/>
        <w:tblpPr w:leftFromText="180" w:rightFromText="180" w:vertAnchor="text" w:tblpXSpec="center" w:tblpY="1"/>
        <w:tblOverlap w:val="never"/>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141"/>
        <w:gridCol w:w="4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blHeader/>
          <w:jc w:val="center"/>
        </w:trPr>
        <w:tc>
          <w:tcPr>
            <w:tcW w:w="1838" w:type="dxa"/>
            <w:noWrap w:val="0"/>
            <w:vAlign w:val="center"/>
          </w:tcPr>
          <w:p>
            <w:pPr>
              <w:spacing w:line="520" w:lineRule="exact"/>
              <w:jc w:val="center"/>
              <w:rPr>
                <w:rFonts w:hint="eastAsia" w:ascii="黑体" w:hAnsi="黑体" w:eastAsia="黑体" w:cs="黑体"/>
                <w:sz w:val="32"/>
                <w:szCs w:val="32"/>
              </w:rPr>
            </w:pPr>
            <w:r>
              <w:rPr>
                <w:rFonts w:hint="eastAsia" w:ascii="黑体" w:hAnsi="黑体" w:eastAsia="黑体" w:cs="黑体"/>
                <w:sz w:val="32"/>
                <w:szCs w:val="32"/>
              </w:rPr>
              <w:t>一级指标</w:t>
            </w:r>
          </w:p>
        </w:tc>
        <w:tc>
          <w:tcPr>
            <w:tcW w:w="2141" w:type="dxa"/>
            <w:noWrap w:val="0"/>
            <w:vAlign w:val="center"/>
          </w:tcPr>
          <w:p>
            <w:pPr>
              <w:spacing w:line="520" w:lineRule="exact"/>
              <w:jc w:val="center"/>
              <w:rPr>
                <w:rFonts w:hint="eastAsia" w:ascii="黑体" w:hAnsi="黑体" w:eastAsia="黑体" w:cs="黑体"/>
                <w:sz w:val="32"/>
                <w:szCs w:val="32"/>
              </w:rPr>
            </w:pPr>
            <w:r>
              <w:rPr>
                <w:rFonts w:hint="eastAsia" w:ascii="黑体" w:hAnsi="黑体" w:eastAsia="黑体" w:cs="黑体"/>
                <w:sz w:val="32"/>
                <w:szCs w:val="32"/>
              </w:rPr>
              <w:t>二级指标</w:t>
            </w:r>
          </w:p>
        </w:tc>
        <w:tc>
          <w:tcPr>
            <w:tcW w:w="4831" w:type="dxa"/>
            <w:noWrap w:val="0"/>
            <w:vAlign w:val="center"/>
          </w:tcPr>
          <w:p>
            <w:pPr>
              <w:spacing w:line="520" w:lineRule="exact"/>
              <w:jc w:val="center"/>
              <w:rPr>
                <w:rFonts w:hint="eastAsia" w:ascii="黑体" w:hAnsi="黑体" w:eastAsia="黑体" w:cs="黑体"/>
                <w:sz w:val="32"/>
                <w:szCs w:val="32"/>
              </w:rPr>
            </w:pPr>
            <w:r>
              <w:rPr>
                <w:rFonts w:hint="eastAsia" w:ascii="黑体" w:hAnsi="黑体" w:eastAsia="黑体" w:cs="黑体"/>
                <w:sz w:val="32"/>
                <w:szCs w:val="32"/>
              </w:rPr>
              <w:t>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1.办学方向</w:t>
            </w: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1.1学校定位</w:t>
            </w:r>
          </w:p>
        </w:tc>
        <w:tc>
          <w:tcPr>
            <w:tcW w:w="4831" w:type="dxa"/>
            <w:noWrap w:val="0"/>
            <w:vAlign w:val="top"/>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办学定位清晰、目标明确，发展规划科学合理。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1838" w:type="dxa"/>
            <w:vMerge w:val="continue"/>
            <w:noWrap w:val="0"/>
            <w:vAlign w:val="center"/>
          </w:tcPr>
          <w:p>
            <w:pPr>
              <w:spacing w:line="520" w:lineRule="exact"/>
              <w:jc w:val="center"/>
              <w:rPr>
                <w:rFonts w:hint="eastAsia" w:ascii="仿宋_GB2312" w:hAnsi="仿宋_GB2312" w:eastAsia="仿宋_GB2312" w:cs="仿宋_GB2312"/>
                <w:sz w:val="32"/>
                <w:szCs w:val="32"/>
              </w:rPr>
            </w:pP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1.2办学思路</w:t>
            </w:r>
          </w:p>
        </w:tc>
        <w:tc>
          <w:tcPr>
            <w:tcW w:w="4831" w:type="dxa"/>
            <w:noWrap w:val="0"/>
            <w:vAlign w:val="top"/>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坚持社会主义办学方向，全面落实立德树人根本任务，党建和思想政治教育工作落实到位。</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办学思路清晰，以本科教学为中心，具有先进的教育理念、科学合理的教育教学制度。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838" w:type="dxa"/>
            <w:vMerge w:val="continue"/>
            <w:noWrap w:val="0"/>
            <w:vAlign w:val="center"/>
          </w:tcPr>
          <w:p>
            <w:pPr>
              <w:spacing w:line="520" w:lineRule="exact"/>
              <w:jc w:val="center"/>
              <w:rPr>
                <w:rFonts w:hint="eastAsia" w:ascii="仿宋_GB2312" w:hAnsi="仿宋_GB2312" w:eastAsia="仿宋_GB2312" w:cs="仿宋_GB2312"/>
                <w:sz w:val="32"/>
                <w:szCs w:val="32"/>
              </w:rPr>
            </w:pP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1.3专业布局</w:t>
            </w:r>
          </w:p>
        </w:tc>
        <w:tc>
          <w:tcPr>
            <w:tcW w:w="4831" w:type="dxa"/>
            <w:noWrap w:val="0"/>
            <w:vAlign w:val="top"/>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专业布局结构合理，有良好的学科基础，服务本地区经济社会发展需要。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838" w:type="dxa"/>
            <w:vMerge w:val="continue"/>
            <w:noWrap w:val="0"/>
            <w:vAlign w:val="center"/>
          </w:tcPr>
          <w:p>
            <w:pPr>
              <w:spacing w:line="520" w:lineRule="exact"/>
              <w:jc w:val="center"/>
              <w:rPr>
                <w:rFonts w:hint="eastAsia" w:ascii="仿宋_GB2312" w:hAnsi="仿宋_GB2312" w:eastAsia="仿宋_GB2312" w:cs="仿宋_GB2312"/>
                <w:sz w:val="32"/>
                <w:szCs w:val="32"/>
              </w:rPr>
            </w:pP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1.4办学特色</w:t>
            </w:r>
          </w:p>
        </w:tc>
        <w:tc>
          <w:tcPr>
            <w:tcW w:w="4831" w:type="dxa"/>
            <w:noWrap w:val="0"/>
            <w:vAlign w:val="top"/>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具有一定办学特色，学科专业优势明显，有良好的发展趋势。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8" w:type="dxa"/>
            <w:vMerge w:val="restart"/>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2.师资队伍</w:t>
            </w: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2.1师德师风</w:t>
            </w:r>
          </w:p>
        </w:tc>
        <w:tc>
          <w:tcPr>
            <w:tcW w:w="4831" w:type="dxa"/>
            <w:noWrap w:val="0"/>
            <w:vAlign w:val="top"/>
          </w:tcPr>
          <w:p>
            <w:pPr>
              <w:spacing w:line="5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师德师风监督管理机制健全，师德师风高尚</w:t>
            </w:r>
            <w:r>
              <w:rPr>
                <w:rFonts w:hint="eastAsia" w:ascii="仿宋_GB2312" w:hAnsi="仿宋_GB2312" w:eastAsia="仿宋_GB2312" w:cs="仿宋_GB2312"/>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838" w:type="dxa"/>
            <w:vMerge w:val="continue"/>
            <w:noWrap w:val="0"/>
            <w:vAlign w:val="center"/>
          </w:tcPr>
          <w:p>
            <w:pPr>
              <w:spacing w:line="520" w:lineRule="exact"/>
              <w:jc w:val="center"/>
              <w:rPr>
                <w:rFonts w:hint="eastAsia" w:ascii="仿宋_GB2312" w:hAnsi="仿宋_GB2312" w:eastAsia="仿宋_GB2312" w:cs="仿宋_GB2312"/>
                <w:sz w:val="32"/>
                <w:szCs w:val="32"/>
              </w:rPr>
            </w:pP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2.2教师规模</w:t>
            </w:r>
          </w:p>
        </w:tc>
        <w:tc>
          <w:tcPr>
            <w:tcW w:w="4831" w:type="dxa"/>
            <w:noWrap w:val="0"/>
            <w:vAlign w:val="top"/>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专任教师数量满足人才培养需要。生师比不高于18∶1，其中医学院校不高于16∶1，体育、艺术院校不高于11∶1。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38" w:type="dxa"/>
            <w:vMerge w:val="continue"/>
            <w:noWrap w:val="0"/>
            <w:vAlign w:val="center"/>
          </w:tcPr>
          <w:p>
            <w:pPr>
              <w:spacing w:line="520" w:lineRule="exact"/>
              <w:jc w:val="center"/>
              <w:rPr>
                <w:rFonts w:hint="eastAsia" w:ascii="仿宋_GB2312" w:hAnsi="仿宋_GB2312" w:eastAsia="仿宋_GB2312" w:cs="仿宋_GB2312"/>
                <w:sz w:val="32"/>
                <w:szCs w:val="32"/>
              </w:rPr>
            </w:pP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2.3师资结构</w:t>
            </w:r>
          </w:p>
        </w:tc>
        <w:tc>
          <w:tcPr>
            <w:tcW w:w="4831" w:type="dxa"/>
            <w:noWrap w:val="0"/>
            <w:vAlign w:val="top"/>
          </w:tcPr>
          <w:p>
            <w:pPr>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专任教师中具有硕士学位及以上教师的比例大于50%，</w:t>
            </w:r>
            <w:r>
              <w:rPr>
                <w:rFonts w:hint="eastAsia" w:ascii="仿宋_GB2312" w:hAnsi="仿宋_GB2312" w:eastAsia="仿宋_GB2312" w:cs="仿宋_GB2312"/>
                <w:color w:val="auto"/>
                <w:sz w:val="32"/>
                <w:szCs w:val="32"/>
              </w:rPr>
              <w:t>高级职称教师比例大于30%。</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年龄、学历、专业技术职务等结构合理。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838" w:type="dxa"/>
            <w:vMerge w:val="continue"/>
            <w:noWrap w:val="0"/>
            <w:vAlign w:val="center"/>
          </w:tcPr>
          <w:p>
            <w:pPr>
              <w:spacing w:line="520" w:lineRule="exact"/>
              <w:jc w:val="center"/>
              <w:rPr>
                <w:rFonts w:hint="eastAsia" w:ascii="仿宋_GB2312" w:hAnsi="仿宋_GB2312" w:eastAsia="仿宋_GB2312" w:cs="仿宋_GB2312"/>
                <w:sz w:val="32"/>
                <w:szCs w:val="32"/>
              </w:rPr>
            </w:pP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2.4教学水平</w:t>
            </w:r>
          </w:p>
        </w:tc>
        <w:tc>
          <w:tcPr>
            <w:tcW w:w="4831" w:type="dxa"/>
            <w:noWrap w:val="0"/>
            <w:vAlign w:val="top"/>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专任教师教育教学理念先进，教学能力整体较高，落实课程思政要求，重视教学改革，教学效果较好，学生满意度较高。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38" w:type="dxa"/>
            <w:vMerge w:val="continue"/>
            <w:noWrap w:val="0"/>
            <w:vAlign w:val="center"/>
          </w:tcPr>
          <w:p>
            <w:pPr>
              <w:spacing w:line="520" w:lineRule="exact"/>
              <w:jc w:val="center"/>
              <w:rPr>
                <w:rFonts w:hint="eastAsia" w:ascii="仿宋_GB2312" w:hAnsi="仿宋_GB2312" w:eastAsia="仿宋_GB2312" w:cs="仿宋_GB2312"/>
                <w:sz w:val="32"/>
                <w:szCs w:val="32"/>
              </w:rPr>
            </w:pP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2.5教师发展</w:t>
            </w:r>
          </w:p>
        </w:tc>
        <w:tc>
          <w:tcPr>
            <w:tcW w:w="4831" w:type="dxa"/>
            <w:noWrap w:val="0"/>
            <w:vAlign w:val="top"/>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教师教学能力培训机制完善，能够为教师访学、学术交流等提供必要支持。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838" w:type="dxa"/>
            <w:vMerge w:val="restart"/>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3.基础条件</w:t>
            </w: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3.1办学经费</w:t>
            </w:r>
          </w:p>
        </w:tc>
        <w:tc>
          <w:tcPr>
            <w:tcW w:w="4831" w:type="dxa"/>
            <w:noWrap w:val="0"/>
            <w:vAlign w:val="top"/>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经费来源稳定可靠、保障机制健全，生均年教学日常运行支出持续增长。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838" w:type="dxa"/>
            <w:vMerge w:val="continue"/>
            <w:noWrap w:val="0"/>
            <w:vAlign w:val="center"/>
          </w:tcPr>
          <w:p>
            <w:pPr>
              <w:spacing w:line="520" w:lineRule="exact"/>
              <w:jc w:val="center"/>
              <w:rPr>
                <w:rFonts w:hint="eastAsia" w:ascii="仿宋_GB2312" w:hAnsi="仿宋_GB2312" w:eastAsia="仿宋_GB2312" w:cs="仿宋_GB2312"/>
                <w:sz w:val="32"/>
                <w:szCs w:val="32"/>
              </w:rPr>
            </w:pP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3.2科学研究</w:t>
            </w:r>
          </w:p>
        </w:tc>
        <w:tc>
          <w:tcPr>
            <w:tcW w:w="4831" w:type="dxa"/>
            <w:noWrap w:val="0"/>
            <w:vAlign w:val="top"/>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科研保障与发展机制健全，具有一定的科学研究基础，近3年承担多项省部级及以上</w:t>
            </w:r>
            <w:r>
              <w:rPr>
                <w:rFonts w:hint="eastAsia" w:ascii="仿宋_GB2312" w:hAnsi="仿宋_GB2312" w:eastAsia="仿宋_GB2312" w:cs="仿宋_GB2312"/>
                <w:sz w:val="32"/>
                <w:szCs w:val="32"/>
                <w:lang w:eastAsia="zh-CN"/>
              </w:rPr>
              <w:t>教学或</w:t>
            </w:r>
            <w:r>
              <w:rPr>
                <w:rFonts w:hint="eastAsia" w:ascii="仿宋_GB2312" w:hAnsi="仿宋_GB2312" w:eastAsia="仿宋_GB2312" w:cs="仿宋_GB2312"/>
                <w:sz w:val="32"/>
                <w:szCs w:val="32"/>
              </w:rPr>
              <w:t>科研项目（其中结题和新增各1项以上），以及若干产教结合的融合科研项目。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38" w:type="dxa"/>
            <w:vMerge w:val="continue"/>
            <w:noWrap w:val="0"/>
            <w:vAlign w:val="center"/>
          </w:tcPr>
          <w:p>
            <w:pPr>
              <w:spacing w:line="520" w:lineRule="exact"/>
              <w:jc w:val="center"/>
              <w:rPr>
                <w:rFonts w:hint="eastAsia" w:ascii="仿宋_GB2312" w:hAnsi="仿宋_GB2312" w:eastAsia="仿宋_GB2312" w:cs="仿宋_GB2312"/>
                <w:sz w:val="32"/>
                <w:szCs w:val="32"/>
              </w:rPr>
            </w:pP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3.3办学用房</w:t>
            </w:r>
          </w:p>
        </w:tc>
        <w:tc>
          <w:tcPr>
            <w:tcW w:w="4831" w:type="dxa"/>
            <w:noWrap w:val="0"/>
            <w:vAlign w:val="top"/>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各类功能教室、校舍齐备，能满足教学和人才培养需要。生均教学科研行政用房面积</w:t>
            </w:r>
            <w:r>
              <w:rPr>
                <w:rFonts w:hint="eastAsia" w:ascii="仿宋_GB2312" w:hAnsi="仿宋_GB2312" w:eastAsia="仿宋_GB2312" w:cs="仿宋_GB2312"/>
                <w:sz w:val="32"/>
                <w:szCs w:val="32"/>
                <w:lang w:val="en-US" w:eastAsia="zh-CN"/>
              </w:rPr>
              <w:t>,综合、师范、民族院校</w:t>
            </w:r>
            <w:r>
              <w:rPr>
                <w:rFonts w:hint="eastAsia" w:ascii="仿宋_GB2312" w:hAnsi="仿宋_GB2312" w:eastAsia="仿宋_GB2312" w:cs="仿宋_GB2312"/>
                <w:sz w:val="32"/>
                <w:szCs w:val="32"/>
              </w:rPr>
              <w:t>不低于14平方米，工科、农、林、医学院校不低于16平方米，语文、财经、政法院校不低于9平方米，体育院校不低于22平方米，艺术院校不低于18平方米。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838" w:type="dxa"/>
            <w:vMerge w:val="continue"/>
            <w:noWrap w:val="0"/>
            <w:vAlign w:val="center"/>
          </w:tcPr>
          <w:p>
            <w:pPr>
              <w:spacing w:line="520" w:lineRule="exact"/>
              <w:jc w:val="center"/>
              <w:rPr>
                <w:rFonts w:hint="eastAsia" w:ascii="仿宋_GB2312" w:hAnsi="仿宋_GB2312" w:eastAsia="仿宋_GB2312" w:cs="仿宋_GB2312"/>
                <w:sz w:val="32"/>
                <w:szCs w:val="32"/>
              </w:rPr>
            </w:pP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3.4实验室与仪器设备</w:t>
            </w:r>
          </w:p>
        </w:tc>
        <w:tc>
          <w:tcPr>
            <w:tcW w:w="4831" w:type="dxa"/>
            <w:noWrap w:val="0"/>
            <w:vAlign w:val="top"/>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生均教学科研仪器设备值不低于5000元，其中语文、财经、政法院校不低于3000元，体育、艺术院校不低于4000元。</w:t>
            </w:r>
            <w:r>
              <w:rPr>
                <w:rFonts w:hint="eastAsia" w:ascii="仿宋_GB2312" w:hAnsi="仿宋_GB2312" w:eastAsia="仿宋_GB2312" w:cs="仿宋_GB2312"/>
                <w:color w:val="auto"/>
                <w:sz w:val="32"/>
                <w:szCs w:val="32"/>
              </w:rPr>
              <w:t>年新增教学科研仪器设备所占比例不低于10%。</w:t>
            </w:r>
            <w:r>
              <w:rPr>
                <w:rFonts w:hint="eastAsia" w:ascii="仿宋_GB2312" w:hAnsi="仿宋_GB2312" w:eastAsia="仿宋_GB2312" w:cs="仿宋_GB2312"/>
                <w:sz w:val="32"/>
                <w:szCs w:val="32"/>
              </w:rPr>
              <w:t>实验室等设施满足教学基本要求，利用率高。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1838" w:type="dxa"/>
            <w:vMerge w:val="continue"/>
            <w:noWrap w:val="0"/>
            <w:vAlign w:val="center"/>
          </w:tcPr>
          <w:p>
            <w:pPr>
              <w:spacing w:line="520" w:lineRule="exact"/>
              <w:jc w:val="center"/>
              <w:rPr>
                <w:rFonts w:hint="eastAsia" w:ascii="仿宋_GB2312" w:hAnsi="仿宋_GB2312" w:eastAsia="仿宋_GB2312" w:cs="仿宋_GB2312"/>
                <w:sz w:val="32"/>
                <w:szCs w:val="32"/>
              </w:rPr>
            </w:pP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3.5信息化与图书资料</w:t>
            </w:r>
          </w:p>
        </w:tc>
        <w:tc>
          <w:tcPr>
            <w:tcW w:w="4831" w:type="dxa"/>
            <w:noWrap w:val="0"/>
            <w:vAlign w:val="top"/>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信息技术基础设施满足教育教学需要。</w:t>
            </w:r>
          </w:p>
          <w:p>
            <w:pPr>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生均图书不低于100册，其中工科、农、林、医学、艺术院校不低于80册，体育院校不低于70册。</w:t>
            </w:r>
            <w:r>
              <w:rPr>
                <w:rFonts w:hint="eastAsia" w:ascii="仿宋_GB2312" w:hAnsi="仿宋_GB2312" w:eastAsia="仿宋_GB2312" w:cs="仿宋_GB2312"/>
                <w:color w:val="auto"/>
                <w:sz w:val="32"/>
                <w:szCs w:val="32"/>
              </w:rPr>
              <w:t>生均年进书量不低于</w:t>
            </w: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rPr>
              <w:t>册</w:t>
            </w:r>
            <w:r>
              <w:rPr>
                <w:rFonts w:hint="eastAsia" w:ascii="仿宋_GB2312" w:hAnsi="仿宋_GB2312" w:eastAsia="仿宋_GB2312" w:cs="仿宋_GB2312"/>
                <w:color w:val="auto"/>
                <w:sz w:val="32"/>
                <w:szCs w:val="32"/>
                <w:lang w:eastAsia="zh-CN"/>
              </w:rPr>
              <w:t>，其中工、农、林、医学、体育院校不低于</w:t>
            </w:r>
            <w:r>
              <w:rPr>
                <w:rFonts w:hint="eastAsia" w:ascii="仿宋_GB2312" w:hAnsi="仿宋_GB2312" w:eastAsia="仿宋_GB2312" w:cs="仿宋_GB2312"/>
                <w:color w:val="auto"/>
                <w:sz w:val="32"/>
                <w:szCs w:val="32"/>
                <w:lang w:val="en-US" w:eastAsia="zh-CN"/>
              </w:rPr>
              <w:t>3册</w:t>
            </w:r>
            <w:r>
              <w:rPr>
                <w:rFonts w:hint="eastAsia" w:ascii="仿宋_GB2312" w:hAnsi="仿宋_GB2312" w:eastAsia="仿宋_GB2312" w:cs="仿宋_GB2312"/>
                <w:color w:val="auto"/>
                <w:sz w:val="32"/>
                <w:szCs w:val="32"/>
              </w:rPr>
              <w:t>。</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现代电子图书系统和计算机网络服务系统满足人才培养需要，管理手段先进。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1838" w:type="dxa"/>
            <w:vMerge w:val="continue"/>
            <w:noWrap w:val="0"/>
            <w:vAlign w:val="center"/>
          </w:tcPr>
          <w:p>
            <w:pPr>
              <w:spacing w:line="520" w:lineRule="exact"/>
              <w:jc w:val="center"/>
              <w:rPr>
                <w:rFonts w:hint="eastAsia" w:ascii="仿宋_GB2312" w:hAnsi="仿宋_GB2312" w:eastAsia="仿宋_GB2312" w:cs="仿宋_GB2312"/>
                <w:sz w:val="32"/>
                <w:szCs w:val="32"/>
              </w:rPr>
            </w:pP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3.6实习实践</w:t>
            </w:r>
          </w:p>
        </w:tc>
        <w:tc>
          <w:tcPr>
            <w:tcW w:w="4831" w:type="dxa"/>
            <w:noWrap w:val="0"/>
            <w:vAlign w:val="top"/>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一定数量校内外实习实训基地，其中以理学、工学、农林等科类专业教育为主的学校应有必需的教学实习工厂、农（林）场和固定的生产实习基地;以师范类专业教育为主的学校基地应具有附属的实验学校或固定的实习学校;以医学类专业教育为主的学校应有直属附属医院和适用需要的教学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8" w:type="dxa"/>
            <w:vMerge w:val="restart"/>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4.管理体系</w:t>
            </w: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4.1管理队伍</w:t>
            </w:r>
          </w:p>
        </w:tc>
        <w:tc>
          <w:tcPr>
            <w:tcW w:w="4831" w:type="dxa"/>
            <w:noWrap w:val="0"/>
            <w:vAlign w:val="center"/>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管理机构健全、职责明确，服务意识强。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noWrap w:val="0"/>
            <w:vAlign w:val="center"/>
          </w:tcPr>
          <w:p>
            <w:pPr>
              <w:spacing w:line="520" w:lineRule="exact"/>
              <w:jc w:val="center"/>
              <w:rPr>
                <w:rFonts w:hint="eastAsia" w:ascii="仿宋_GB2312" w:hAnsi="仿宋_GB2312" w:eastAsia="仿宋_GB2312" w:cs="仿宋_GB2312"/>
                <w:sz w:val="32"/>
                <w:szCs w:val="32"/>
              </w:rPr>
            </w:pP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4.2规章制度</w:t>
            </w:r>
          </w:p>
        </w:tc>
        <w:tc>
          <w:tcPr>
            <w:tcW w:w="4831" w:type="dxa"/>
            <w:noWrap w:val="0"/>
            <w:vAlign w:val="top"/>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学士学位授予的规章制度科学合理、健全规范，与人才培养契合度高，学位授予质量保障体系完善。</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有完善的学业预警机制和奖助体系，公共服务体系完备。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noWrap w:val="0"/>
            <w:vAlign w:val="center"/>
          </w:tcPr>
          <w:p>
            <w:pPr>
              <w:spacing w:line="520" w:lineRule="exact"/>
              <w:jc w:val="center"/>
              <w:rPr>
                <w:rFonts w:hint="eastAsia" w:ascii="仿宋_GB2312" w:hAnsi="仿宋_GB2312" w:eastAsia="仿宋_GB2312" w:cs="仿宋_GB2312"/>
                <w:sz w:val="32"/>
                <w:szCs w:val="32"/>
              </w:rPr>
            </w:pP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4.3教学管理</w:t>
            </w:r>
          </w:p>
        </w:tc>
        <w:tc>
          <w:tcPr>
            <w:tcW w:w="4831" w:type="dxa"/>
            <w:noWrap w:val="0"/>
            <w:vAlign w:val="top"/>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教学管理机制健全，专职管理人员配置合理，主要教学环节的质量标准执行较好，教学运行平稳有序。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noWrap w:val="0"/>
            <w:vAlign w:val="center"/>
          </w:tcPr>
          <w:p>
            <w:pPr>
              <w:spacing w:line="520" w:lineRule="exact"/>
              <w:jc w:val="center"/>
              <w:rPr>
                <w:rFonts w:hint="eastAsia" w:ascii="仿宋_GB2312" w:hAnsi="仿宋_GB2312" w:eastAsia="仿宋_GB2312" w:cs="仿宋_GB2312"/>
                <w:sz w:val="32"/>
                <w:szCs w:val="32"/>
              </w:rPr>
            </w:pPr>
          </w:p>
        </w:tc>
        <w:tc>
          <w:tcPr>
            <w:tcW w:w="2141" w:type="dxa"/>
            <w:noWrap w:val="0"/>
            <w:vAlign w:val="center"/>
          </w:tcPr>
          <w:p>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4.4校风学风</w:t>
            </w:r>
          </w:p>
        </w:tc>
        <w:tc>
          <w:tcPr>
            <w:tcW w:w="4831" w:type="dxa"/>
            <w:noWrap w:val="0"/>
            <w:vAlign w:val="top"/>
          </w:tcPr>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校风学风激励引导机制健全，营造奋发向上、学习主动的良好氛围。</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4MmJkMWU2OTQ3MjcyM2IyOTEzOTMyZWIyNTMzNjMifQ=="/>
  </w:docVars>
  <w:rsids>
    <w:rsidRoot w:val="00000000"/>
    <w:rsid w:val="00D95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2023-04-23T02:34:42Z</dcterms:created>
  <dc:creator>Administrator</dc:creator>
  <cp:lastModifiedBy>Administrator</cp:lastModifiedBy>
  <dcterms:modified xsi:type="dcterms:W3CDTF">2023-04-23T02:34:53Z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29DE996F8A1444E486EF79353C394EEC_12</vt:lpwstr>
  </property>
</Properties>
</file>