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教材使用评价报告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学期：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教材使用评价报告撰写提纲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本学期开设课程门数、使用教材课程门数，使用教材种类，教材监测评价开展情况（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需要说明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教师评价主要围绕以下几个方面：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对选用教材的内容、构件等符合性评价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对选用教材与相应课程教学需求的保障性评价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对选用教材的文、图水平与印刷、装订质量的评价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对教材意识形态的评价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其他评价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学生评价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主要围绕以下几个方面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教材内容的科学性体现与专业要求符合评价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教材内容深度和难度符合学生需求评价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教材中例题、习题等有针对性、实用性、启发性评价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教材理论概念准确、叙述通俗易懂、举例适当评价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其他评价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综合评价、是否续用等。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bidi="ar"/>
        </w:rPr>
        <w:t>教学单位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 w:bidi="ar"/>
        </w:rPr>
        <w:t>党、政负责人签字：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公章:              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1987377F"/>
    <w:rsid w:val="198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2023-03-02T02:51:00Z</dcterms:created>
  <dc:creator>曹哲</dc:creator>
  <cp:lastModifiedBy>曹哲</cp:lastModifiedBy>
  <dcterms:modified xsi:type="dcterms:W3CDTF">2023-03-02T02:51:37Z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85992F05BA8743E0A7A3BE77B013023F</vt:lpwstr>
  </property>
</Properties>
</file>