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23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921"/>
        <w:gridCol w:w="1904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10月23日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主题教育调研——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人才队伍建设情况座谈会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19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商学院党团活动室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学校办公室、学生工作处、教务处、人事处、各教学单位党政负责人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主题教育调研——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深化“四新”建设 优化调整学科专业设置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教务处、教师教学发展中心、各教学单位负责人及工作人员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10月24日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（星期二）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全天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主题教育调研——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立足服务师生 筑牢安全防线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守住安全底线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打造平安校园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奢岭校区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10月25日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省级依法治校“示范校”创建工作专家组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进校评估验收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政策法规办公室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学校办公室、党委宣传部、政策法规办公室、学生工作处、安全处、工会、团委、人事处、财务处、教务处、教师教学发展中心、科研处、招生办公室、国际交流处、资产管理处、马克思主义学院负责人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10月26日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教学观摩活动-新工科组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教师教学发展中心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教学楼253教室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工学院、人工智能学院教学副院长，观摩课任课教师及观摩人员，教学督导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000000"/>
    <w:rsid w:val="602E6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603</Characters>
  <Lines>5</Lines>
  <Paragraphs>1</Paragraphs>
  <TotalTime>13</TotalTime>
  <ScaleCrop>false</ScaleCrop>
  <LinksUpToDate>false</LinksUpToDate>
  <CharactersWithSpaces>628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2023-05-31T00:12:00Z</dcterms:created>
  <dc:creator>微软用户</dc:creator>
  <cp:lastModifiedBy>姚迪</cp:lastModifiedBy>
  <cp:lastPrinted>2023-10-23T01:02:57Z</cp:lastPrinted>
  <dcterms:modified xsi:type="dcterms:W3CDTF">2023-10-23T01:16:39Z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42E067DFA1704EC484016E6AA4EDDD08_13</vt:lpwstr>
  </property>
</Properties>
</file>